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WzPrawo"/>
      </w:pPr>
      <w:r>
        <w:t xml:space="preserve">[MIEJSCOWOŚĆ]</w:t>
      </w:r>
      <w:r>
        <w:t xml:space="preserve">, </w:t>
      </w:r>
      <w:r>
        <w:t xml:space="preserve">[DATA]</w:t>
      </w:r>
    </w:p>
    <w:p>
      <w:pPr>
        <w:pStyle w:val="WzNadawca"/>
      </w:pPr>
      <w:r>
        <w:rPr>
          <w:b/>
          <w:bCs/>
        </w:rPr>
        <w:t xml:space="preserve">[IMIĘ I NAZWISKO]</w:t>
      </w:r>
      <w:r>
        <w:br/>
      </w:r>
      <w:r>
        <w:t xml:space="preserve">[ULICA, NUMER DOMU / LOKALU]</w:t>
      </w:r>
      <w:r>
        <w:br/>
      </w:r>
      <w:r>
        <w:t xml:space="preserve">[KOD POCZTOWY, MIEJSCOWOŚĆ]</w:t>
      </w:r>
      <w:r>
        <w:br/>
      </w:r>
      <w:r>
        <w:t xml:space="preserve">PESEL: </w:t>
      </w:r>
      <w:r>
        <w:t xml:space="preserve">[PESEL]</w:t>
      </w:r>
      <w:r>
        <w:br/>
      </w:r>
      <w:r>
        <w:t xml:space="preserve">Dokument tożsamości: </w:t>
      </w:r>
      <w:r>
        <w:t xml:space="preserve">[RODZAJ, SERIA I NUMER]</w:t>
      </w:r>
      <w:r>
        <w:br/>
      </w:r>
      <w:r>
        <w:t xml:space="preserve">E-mail / telefon: </w:t>
      </w:r>
      <w:r>
        <w:t xml:space="preserve">[OPCJONALNIE]</w:t>
      </w:r>
    </w:p>
    <w:p>
      <w:pPr>
        <w:pStyle w:val="WzAdresat"/>
      </w:pPr>
      <w:r>
        <w:rPr>
          <w:b/>
          <w:bCs/>
        </w:rPr>
        <w:t xml:space="preserve">Biuro Informacji Kredytowej S.A.</w:t>
      </w:r>
      <w:r>
        <w:br/>
      </w:r>
      <w:r>
        <w:t xml:space="preserve">ul. Zygmunta Modzelewskiego 77A</w:t>
      </w:r>
      <w:r>
        <w:br/>
      </w:r>
      <w:r>
        <w:t xml:space="preserve">02-679 Warszawa</w:t>
      </w:r>
      <w:r>
        <w:br/>
      </w:r>
      <w:r>
        <w:t xml:space="preserve">do wiadomości: Inspektor Ochrony Danych (iod@bik.pl)</w:t>
      </w:r>
    </w:p>
    <w:p>
      <w:pPr>
        <w:pStyle w:val="WzTytul"/>
      </w:pPr>
      <w:r>
        <w:rPr>
          <w:b/>
          <w:bCs/>
        </w:rPr>
        <w:t xml:space="preserve">Odwołanie zgody na przetwarzanie danych po wygaśnięciu zobowiązania oraz żądanie usunięcia danych</w:t>
      </w:r>
    </w:p>
    <w:p>
      <w:pPr>
        <w:pStyle w:val="WzLewo"/>
      </w:pPr>
      <w:r>
        <w:t xml:space="preserve">Dotyczy: umowy </w:t>
      </w:r>
      <w:r>
        <w:t xml:space="preserve">[RODZAJ UMOWY, np. kredytu gotówkowego]</w:t>
      </w:r>
      <w:r>
        <w:t xml:space="preserve"> nr </w:t>
      </w:r>
      <w:r>
        <w:t xml:space="preserve">[NUMER UMOWY]</w:t>
      </w:r>
      <w:r>
        <w:t xml:space="preserve"> z dnia </w:t>
      </w:r>
      <w:r>
        <w:t xml:space="preserve">[DATA UMOWY]</w:t>
      </w:r>
      <w:r>
        <w:t xml:space="preserve">, zawartej z </w:t>
      </w:r>
      <w:r>
        <w:t xml:space="preserve">[PEŁNA NAZWA BANKU / INSTYTUCJI POŻYCZKOWEJ]</w:t>
      </w:r>
      <w:r>
        <w:t xml:space="preserve">; zobowiązanie wygasło dnia </w:t>
      </w:r>
      <w:r>
        <w:t xml:space="preserve">[DATA SPŁATY / ZAMKNIĘCIA UMOWY]</w:t>
      </w:r>
      <w:r>
        <w:t xml:space="preserve">.</w:t>
      </w:r>
    </w:p>
    <w:p>
      <w:pPr>
        <w:pStyle w:val="Tresc"/>
      </w:pPr>
      <w:r>
        <w:t xml:space="preserve">Na podstawie art. 105a ust. 2 zdanie drugie ustawy z dnia 29 sierpnia 1997 r. – Prawo bankowe (t.j. Dz.U. z 2026 r. poz. 38 ze zm.; dalej: „Prawo bankowe”) oraz art. 7 ust. 3, art. 17 ust. 1 lit. b i d, art. 19 i art. 21 ust. 1 rozporządzenia Parlamentu Europejskiego i Rady (UE) 2016/679 z dnia 27 kwietnia 2016 r. w sprawie ochrony osób fizycznych w związku z przetwarzaniem danych osobowych i w sprawie swobodnego przepływu takich danych (dalej: „RODO”):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odwołuję</w:t>
      </w:r>
      <w:r>
        <w:t xml:space="preserve"> w całości i ze skutkiem natychmiastowym zgodę na przetwarzanie przez Biuro Informacji Kredytowej S.A. dotyczących mnie informacji stanowiących tajemnicę bankową po wygaśnięciu zobowiązania z wyżej wskazanej umowy, niezależnie od tego, czy zgoda została udzielona w umowie, w odrębnym oświadczeniu, w postaci elektronicznej czy w Portalu BIK;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zaprzestania przetwarzania i usunięcia</w:t>
      </w:r>
      <w:r>
        <w:t xml:space="preserve"> z bazy BIK S.A. wszystkich danych dotyczących tej umowy przetwarzanych w celu oceny zdolności kredytowej i analizy ryzyka kredytowego, w szczególności zaprzestania ich udostępniania bankom, instytucjom pożyczkowym i innym uczestnikom wymiany informacji w raportach BIK oraz uwzględniania ich w ocenie punktowej (scoringu);</w:t>
      </w:r>
    </w:p>
    <w:p>
      <w:pPr>
        <w:pStyle w:val="WzLista"/>
        <w:numPr>
          <w:ilvl w:val="0"/>
          <w:numId w:val="3"/>
        </w:numPr>
      </w:pPr>
      <w:r>
        <w:rPr>
          <w:b/>
          <w:bCs/>
        </w:rPr>
        <w:t xml:space="preserve">żądam powiadomienia o usunięciu danych</w:t>
      </w:r>
      <w:r>
        <w:t xml:space="preserve"> każdego odbiorcy, któremu dane zostały ujawnione, oraz poinformowania mnie o tych odbiorcach (art. 19 RODO);</w:t>
      </w:r>
    </w:p>
    <w:p>
      <w:pPr>
        <w:pStyle w:val="WzLista"/>
        <w:numPr>
          <w:ilvl w:val="0"/>
          <w:numId w:val="3"/>
        </w:numPr>
      </w:pPr>
      <w:r>
        <w:t xml:space="preserve">jeżeli BIK S.A. uznaje, że usunięcie danych wymaga udziału instytucji, która je przekazała, </w:t>
      </w:r>
      <w:r>
        <w:rPr>
          <w:b/>
          <w:bCs/>
        </w:rPr>
        <w:t xml:space="preserve">żądam niezwłocznego przekazania</w:t>
      </w:r>
      <w:r>
        <w:t xml:space="preserve"> niniejszego żądania </w:t>
      </w:r>
      <w:r>
        <w:t xml:space="preserve">[NAZWA BANKU / INSTYTUCJI POŻYCZKOWEJ]</w:t>
      </w:r>
      <w:r>
        <w:t xml:space="preserve"> oraz poinformowania mnie o dacie przekazania; to samo żądanie kieruję bezpośrednio do tej instytucji odrębnym pismem;</w:t>
      </w:r>
    </w:p>
    <w:p>
      <w:pPr>
        <w:pStyle w:val="WzLista"/>
        <w:numPr>
          <w:ilvl w:val="0"/>
          <w:numId w:val="3"/>
        </w:numPr>
      </w:pPr>
      <w:r>
        <w:t xml:space="preserve">na podstawie art. 15 RODO </w:t>
      </w:r>
      <w:r>
        <w:rPr>
          <w:b/>
          <w:bCs/>
        </w:rPr>
        <w:t xml:space="preserve">żądam potwierdzenia</w:t>
      </w:r>
      <w:r>
        <w:t xml:space="preserve">, czy po wykonaniu powyższych czynności BIK S.A. nadal przetwarza jakiekolwiek dane dotyczące tej umowy, a jeżeli tak: w jakim celu, na jakiej podstawie prawnej, przez jaki okres oraz czy są one udostępniane uczestnikom wymiany informacji lub wykorzystywane do obliczania oceny punktowej;</w:t>
      </w:r>
    </w:p>
    <w:p>
      <w:pPr>
        <w:pStyle w:val="WzLista"/>
        <w:numPr>
          <w:ilvl w:val="0"/>
          <w:numId w:val="3"/>
        </w:numPr>
      </w:pPr>
      <w:r>
        <w:t xml:space="preserve">w razie odmowy </w:t>
      </w:r>
      <w:r>
        <w:rPr>
          <w:b/>
          <w:bCs/>
        </w:rPr>
        <w:t xml:space="preserve">żądam wskazania podstawy prawnej</w:t>
      </w:r>
      <w:r>
        <w:t xml:space="preserve"> dalszego przetwarzania oraz dowodu spełnienia przesłanek z art. 105a ust. 3 Prawa bankowego, w tym daty i sposobu poinformowania mnie o zamiarze przetwarzania danych bez mojej zgody.</w:t>
      </w:r>
    </w:p>
    <w:p>
      <w:pPr>
        <w:pStyle w:val="WzSekcja"/>
      </w:pPr>
      <w:r>
        <w:rPr>
          <w:b/>
          <w:bCs/>
        </w:rPr>
        <w:t xml:space="preserve">Uzasadnienie</w:t>
      </w:r>
    </w:p>
    <w:p>
      <w:pPr>
        <w:pStyle w:val="WzInstr"/>
        <w:jc w:val="left"/>
      </w:pPr>
      <w:r>
        <w:t xml:space="preserve">[WYBIERZ JEDEN WARIANT I USUŃ POZOSTAŁE]</w:t>
      </w:r>
    </w:p>
    <w:p>
      <w:pPr>
        <w:pStyle w:val="WzWariantTytul"/>
      </w:pPr>
      <w:r>
        <w:rPr>
          <w:b/>
          <w:bCs/>
        </w:rPr>
        <w:t xml:space="preserve">Wariant A – zobowiązanie spłacone terminowo.</w:t>
      </w:r>
    </w:p>
    <w:p>
      <w:pPr>
        <w:pStyle w:val="Tresc"/>
      </w:pPr>
      <w:r>
        <w:t xml:space="preserve">Zobowiązanie z umowy zostało wykonane w całości, a w trakcie jej trwania nie dopuściłem/-am się zwłoki przekraczającej 60 dni. Zgodnie z art. 105a ust. 2 Prawa bankowego po wygaśnięciu zobowiązania dalsze przetwarzanie informacji objętych tajemnicą bankową dotyczących osoby fizycznej jest dopuszczalne wyłącznie pod warunkiem uzyskania pisemnej zgody tej osoby, a zgoda może być w każdym czasie odwołana. Wyjątek z art. 105a ust. 3 Prawa bankowego nie ma zastosowania, ponieważ nie zaistniała żadna ze wskazanych w nim przesłanek. Z chwilą odwołania zgody BIK S.A. traci podstawę do przetwarzania tych danych w celu oceny zdolności kredytowej i analizy ryzyka kredytowego. Art. 105 ust. 4 Prawa bankowego ma charakter kompetencyjny i nie stanowi samodzielnej podstawy przetwarzania (wyrok NSA z 2 września 2026 r., III OSK 252/24; wyrok NSA z 14 stycznia 2026 r., III OSK 183/23).</w:t>
      </w:r>
    </w:p>
    <w:p>
      <w:pPr>
        <w:pStyle w:val="WzWariantTytul"/>
      </w:pPr>
      <w:r>
        <w:rPr>
          <w:b/>
          <w:bCs/>
        </w:rPr>
        <w:t xml:space="preserve">Wariant B – była zwłoka, ale nie zostałem/-am skutecznie poinformowany/-a o zamiarze przetwarzania danych bez zgody.</w:t>
      </w:r>
    </w:p>
    <w:p>
      <w:pPr>
        <w:pStyle w:val="Tresc"/>
      </w:pPr>
      <w:r>
        <w:t xml:space="preserve">Przetwarzanie informacji po wygaśnięciu zobowiązania bez zgody osoby, której dotyczą, jest dopuszczalne wyłącznie wtedy, gdy łącznie: osoba ta nie wykonała zobowiązania lub dopuściła się zwłoki powyżej 60 dni oraz upłynęło co najmniej 30 dni od poinformowania jej o zamiarze przetwarzania danych bez jej zgody (art. 105a ust. 3 Prawa bankowego). Nie otrzymałem/-am takiej informacji. Obowiązek informacyjny nie ma charakteru czysto formalnego: ciężar wykazania daty i skuteczności poinformowania spoczywa na instytucji finansowej, a samo potwierdzenie nadania przesyłki poleconej nie dowodzi doręczenia (wyroki NSA z 16 stycznia 2024 r., III OSK 3233/21; z 12 czerwca 2026 r., III OSK 2864/24 i III OSK 100/25). Brak skutecznego poinformowania oznacza brak podstawy do przetwarzania moich danych bez mojej zgody.</w:t>
      </w:r>
    </w:p>
    <w:p>
      <w:pPr>
        <w:pStyle w:val="WzWariantTytul"/>
      </w:pPr>
      <w:r>
        <w:rPr>
          <w:b/>
          <w:bCs/>
        </w:rPr>
        <w:t xml:space="preserve">Wariant C – zaległość została spłacona przed upływem 30 dni od poinformowania.</w:t>
      </w:r>
    </w:p>
    <w:p>
      <w:pPr>
        <w:pStyle w:val="Tresc"/>
      </w:pPr>
      <w:r>
        <w:t xml:space="preserve">Informację o zamiarze przetwarzania danych bez zgody otrzymałem/-am dnia </w:t>
      </w:r>
      <w:r>
        <w:t xml:space="preserve">[DATA]</w:t>
      </w:r>
      <w:r>
        <w:t xml:space="preserve">, a całą zaległość spłaciłem/-am dnia </w:t>
      </w:r>
      <w:r>
        <w:t xml:space="preserve">[DATA SPŁATY ZALEGŁOŚCI]</w:t>
      </w:r>
      <w:r>
        <w:t xml:space="preserve">, czyli przed upływem 30 dni od poinformowania. Przesłanki art. 105a ust. 3 Prawa bankowego muszą być spełnione łącznie w chwili upływu 30-dniowego terminu; jeżeli w tym czasie zaległość została uregulowana, przetwarzanie danych bez zgody po upływie tego terminu jest niedopuszczalne (wyrok NSA z 12 czerwca 2026 r., III OSK 100/25).</w:t>
      </w:r>
    </w:p>
    <w:p>
      <w:pPr>
        <w:pStyle w:val="WzWariantTytul"/>
      </w:pPr>
      <w:r>
        <w:rPr>
          <w:b/>
          <w:bCs/>
        </w:rPr>
        <w:t xml:space="preserve">Wariant D – upłynęło 5 lat od wygaśnięcia zobowiązania.</w:t>
      </w:r>
    </w:p>
    <w:p>
      <w:pPr>
        <w:pStyle w:val="Tresc"/>
      </w:pPr>
      <w:r>
        <w:t xml:space="preserve">Zobowiązanie wygasło dnia </w:t>
      </w:r>
      <w:r>
        <w:t xml:space="preserve">[DATA]</w:t>
      </w:r>
      <w:r>
        <w:t xml:space="preserve">, a zatem upłynął maksymalny, pięcioletni okres, przez który art. 105a ust. 5 w związku z ust. 3 Prawa bankowego pozwala przetwarzać informacje bez zgody osoby, której dotyczą. Dalsze przetwarzanie tych danych w celu oceny zdolności kredytowej i analizy ryzyka kredytowego nie ma podstawy prawnej.</w:t>
      </w:r>
    </w:p>
    <w:p>
      <w:pPr>
        <w:pStyle w:val="WzWariantTytul"/>
      </w:pPr>
      <w:r>
        <w:rPr>
          <w:b/>
          <w:bCs/>
        </w:rPr>
        <w:t xml:space="preserve">Wariant E – zobowiązanie niespłacone, ale przedawnione.</w:t>
      </w:r>
    </w:p>
    <w:p>
      <w:pPr>
        <w:pStyle w:val="Tresc"/>
      </w:pPr>
      <w:r>
        <w:t xml:space="preserve">Roszczenie z umowy stało się wymagalne dnia </w:t>
      </w:r>
      <w:r>
        <w:t xml:space="preserve">[DATA]</w:t>
      </w:r>
      <w:r>
        <w:t xml:space="preserve">, a termin przedawnienia </w:t>
      </w:r>
      <w:r>
        <w:t xml:space="preserve">[3 lata – art. 118 k.c. / 6 lat]</w:t>
      </w:r>
      <w:r>
        <w:t xml:space="preserve"> upłynął z dniem </w:t>
      </w:r>
      <w:r>
        <w:t xml:space="preserve">[DATA]</w:t>
      </w:r>
      <w:r>
        <w:t xml:space="preserve">. Zgodnie z art. 117 § 2¹ Kodeksu cywilnego po upływie terminu przedawnienia nie można domagać się zaspokojenia roszczenia przysługującego przeciwko konsumentowi; zarzut przedawnienia podniosłem/-am wobec </w:t>
      </w:r>
      <w:r>
        <w:t xml:space="preserve">[NAZWA BANKU / INSTYTUCJI]</w:t>
      </w:r>
      <w:r>
        <w:t xml:space="preserve"> pismem z dnia </w:t>
      </w:r>
      <w:r>
        <w:t xml:space="preserve">[DATA]</w:t>
      </w:r>
      <w:r>
        <w:t xml:space="preserve"> (załącznik). Naczelny Sąd Administracyjny przyjął, że po przedawnieniu bank nie ma prawnie uzasadnionego interesu w dalszym przetwarzaniu i raportowaniu zobowiązania do BIK na zasadach właściwych dla zobowiązania aktualnego, bez zastrzeżenia o przedawnieniu, ponieważ stanowi to pozasądowe przymuszenie do zapłaty (wyrok NSA z 17 czerwca 2026 r., III OSK 2241/23, powołujący wyroki TSUE w sprawach C-26/22 i C-64/22). Sama możliwość dochodzenia roszczeń w przyszłości nie uzasadnia przetwarzania danych (wyrok NSA z 1 października 2025 r., III OSK 872/22). Żądam więc usunięcia danych o tym zobowiązaniu, a co najmniej zaprzestania ich udostępniania w raportach i uwzględniania w ocenie punktowej oraz oznaczenia zobowiązania jako przedawnionego.</w:t>
      </w:r>
    </w:p>
    <w:p>
      <w:pPr>
        <w:pStyle w:val="Tresc"/>
      </w:pPr>
      <w:r>
        <w:rPr>
          <w:b/>
          <w:bCs/>
        </w:rPr>
        <w:t xml:space="preserve">Fragment wspólny dla wszystkich wariantów.</w:t>
      </w:r>
    </w:p>
    <w:p>
      <w:pPr>
        <w:pStyle w:val="Tresc"/>
      </w:pPr>
      <w:r>
        <w:t xml:space="preserve">Wyjątki od ochrony tajemnicy bankowej i danych osobowych podlegają wykładni ścisłej, a dane nie mogą być przetwarzane „na zapas” (wyroki NSA z 1 października 2025 r., III OSK 872/22, i z 13 listopada 2025 r., III OSK 2513/22). BIK S.A. jako odrębny administrator odpowiada za legalność przetwarzania we własnym zakresie i nie może uzależniać wykonania żądania od stanowiska instytucji, która dane przekazała (wyroki NSA z 17 lipca 2026 r., III OSK 3176/23, i z 2 września 2026 r., III OSK 252/24). Art. 105a ust. 4 Prawa bankowego, dopuszczający przetwarzanie danych bez zgody do celów stosowania metod wewnętrznych oraz modeli, o których mowa w części trzeciej rozporządzenia (UE) nr 575/2013, nie uprawnia do udostępniania moich danych w raportach ani do uwzględniania ich w ocenie zdolności kredytowej. Jeżeli BIK S.A. powołuje się na ten przepis, żądam potwierdzenia, że dane są przetwarzane wyłącznie w tym celu i nie są udostępniane uczestnikom wymiany informacji.</w:t>
      </w:r>
    </w:p>
    <w:p>
      <w:pPr>
        <w:pStyle w:val="Tresc"/>
      </w:pPr>
      <w:r>
        <w:t xml:space="preserve">Odpowiedzi oczekuję w terminie miesiąca od otrzymania pisma (art. 12 ust. 3 RODO). Brak odpowiedzi albo odmowa będą podstawą skargi do Prezesa Urzędu Ochrony Danych Osobowych (art. 77 RODO), który w analogicznych sprawach nakazywał bankom i BIK S.A. zaprzestanie przetwarzania danych, a decyzje te były utrzymywane przez sądy administracyjne.</w:t>
      </w:r>
    </w:p>
    <w:p>
      <w:pPr>
        <w:pStyle w:val="Tresc"/>
      </w:pPr>
      <w:r>
        <w:t xml:space="preserve">Załączniki: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[zaświadczenie o spłacie / potwierdzenie zamknięcia umowy – jeżeli jest]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[wydruk raportu BIK z zaznaczonym wpisem – opcjonalnie]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skierowanego do banku / instytucji pożyczkowej – opcjonalnie]</w:t>
      </w:r>
    </w:p>
    <w:p>
      <w:pPr>
        <w:pStyle w:val="WzLista"/>
        <w:numPr>
          <w:ilvl w:val="0"/>
          <w:numId w:val="4"/>
        </w:numPr>
        <w:jc w:val="left"/>
      </w:pPr>
      <w:r>
        <w:t xml:space="preserve">[kopia pisma z zarzutem przedawnienia – tylko przy wariancie E]</w:t>
      </w:r>
    </w:p>
    <w:p>
      <w:pPr>
        <w:pStyle w:val="WzPodpis"/>
      </w:pPr>
      <w:r>
        <w:t xml:space="preserve">.......................................</w:t>
      </w:r>
      <w:r>
        <w:br/>
      </w:r>
      <w:r>
        <w:t xml:space="preserve">[własnoręczny podpis]</w:t>
      </w:r>
    </w:p>
    <w:sectPr>
      <w:footerReference w:type="default" r:id="rId3"/>
      <w:pgSz w:w="11906" w:h="16838"/>
      <w:pgMar w:top="1418" w:right="1418" w:bottom="1418" w:left="1418" w:header="709" w:footer="709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multiLevelType w:val="singleLevel"/>
    <w:lvl w:ilvl="0">
      <w:start w:val="1"/>
      <w:numFmt w:val="decimal"/>
      <w:lvlText w:val="%1."/>
      <w:lvlJc w:val="left"/>
      <w:pPr>
        <w:ind w:left="357" w:hanging="357"/>
      </w:pPr>
    </w:lvl>
  </w:abstractNum>
  <w:abstractNum w:abstractNumId="1">
    <w:multiLevelType w:val="singleLevel"/>
    <w:lvl w:ilvl="0">
      <w:start w:val="1"/>
      <w:numFmt w:val="bullet"/>
      <w:lvlText w:val="•"/>
      <w:lvlJc w:val="left"/>
      <w:pPr>
        <w:ind w:left="357" w:hanging="357"/>
      </w:pPr>
      <w:rPr>
        <w:rFonts w:ascii="Times New Roman" w:hAnsi="Times New Roman" w:cs="Times New Roman" w:hint="default"/>
      </w:rPr>
    </w:lvl>
  </w:abstractNum>
  <w:num w:numId="1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ompat>
    <w:doNotExpandShiftReturn/>
  </w:compat>
  <w:themeFontLang w:val="pl-PL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pl-PL" w:eastAsia="pl-PL" w:bidi="ar-SA"/>
      </w:rPr>
    </w:rPrDefault>
    <w:pPrDefault>
      <w:pPr>
        <w:spacing w:after="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customStyle="1" w:styleId="Tresc">
    <w:name w:val="Tresc pisma"/>
    <w:basedOn w:val="Normal"/>
    <w:qFormat/>
    <w:pPr>
      <w:spacing w:after="120"/>
      <w:jc w:val="both"/>
    </w:pPr>
  </w:style>
  <w:style w:type="paragraph" w:customStyle="1" w:styleId="WzPrawo">
    <w:name w:val="Wz prawo"/>
    <w:basedOn w:val="Normal"/>
    <w:qFormat/>
    <w:pPr>
      <w:spacing w:after="240"/>
      <w:jc w:val="right"/>
    </w:pPr>
  </w:style>
  <w:style w:type="paragraph" w:customStyle="1" w:styleId="WzNadawca">
    <w:name w:val="Wz nadawca"/>
    <w:basedOn w:val="Normal"/>
    <w:qFormat/>
    <w:pPr>
      <w:spacing w:after="240"/>
      <w:jc w:val="left"/>
    </w:pPr>
  </w:style>
  <w:style w:type="paragraph" w:customStyle="1" w:styleId="WzAdresat">
    <w:name w:val="Wz adresat"/>
    <w:basedOn w:val="Normal"/>
    <w:qFormat/>
    <w:pPr>
      <w:spacing w:after="360"/>
      <w:ind w:left="5102"/>
      <w:jc w:val="left"/>
    </w:pPr>
  </w:style>
  <w:style w:type="paragraph" w:customStyle="1" w:styleId="WzTytul">
    <w:name w:val="Wz tytul"/>
    <w:basedOn w:val="Normal"/>
    <w:next w:val="Tresc"/>
    <w:qFormat/>
    <w:pPr>
      <w:keepNext/>
      <w:spacing w:before="120" w:after="240"/>
      <w:jc w:val="center"/>
    </w:pPr>
    <w:rPr>
      <w:b/>
      <w:bCs/>
      <w:sz w:val="26"/>
      <w:szCs w:val="26"/>
    </w:rPr>
  </w:style>
  <w:style w:type="paragraph" w:customStyle="1" w:styleId="WzSekcja">
    <w:name w:val="Wz sekcja"/>
    <w:basedOn w:val="Normal"/>
    <w:next w:val="Tresc"/>
    <w:qFormat/>
    <w:pPr>
      <w:keepNext/>
      <w:spacing w:before="240" w:after="120"/>
      <w:jc w:val="center"/>
    </w:pPr>
    <w:rPr>
      <w:b/>
      <w:bCs/>
      <w:sz w:val="24"/>
      <w:szCs w:val="24"/>
    </w:rPr>
  </w:style>
  <w:style w:type="paragraph" w:customStyle="1" w:styleId="WzWariantTytul">
    <w:name w:val="Wz wariant tytul"/>
    <w:basedOn w:val="Tresc"/>
    <w:qFormat/>
    <w:pPr>
      <w:keepNext/>
      <w:spacing w:before="120"/>
    </w:pPr>
  </w:style>
  <w:style w:type="paragraph" w:customStyle="1" w:styleId="WzInstr">
    <w:name w:val="Wz instrukcja"/>
    <w:basedOn w:val="Tresc"/>
    <w:qFormat/>
    <w:rPr>
      <w:i/>
      <w:iCs/>
    </w:rPr>
  </w:style>
  <w:style w:type="paragraph" w:customStyle="1" w:styleId="WzLewo">
    <w:name w:val="Wz do lewej"/>
    <w:basedOn w:val="Tresc"/>
    <w:qFormat/>
    <w:pPr>
      <w:jc w:val="left"/>
    </w:pPr>
  </w:style>
  <w:style w:type="paragraph" w:customStyle="1" w:styleId="WzPodpis">
    <w:name w:val="Wz podpis"/>
    <w:basedOn w:val="Normal"/>
    <w:qFormat/>
    <w:pPr>
      <w:spacing w:before="600" w:after="0"/>
      <w:jc w:val="right"/>
    </w:pPr>
  </w:style>
  <w:style w:type="paragraph" w:customStyle="1" w:styleId="WzLista">
    <w:name w:val="Wz lista"/>
    <w:basedOn w:val="Tresc"/>
    <w:qFormat/>
  </w:style>
  <w:style w:type="paragraph" w:styleId="Footer">
    <w:name w:val="footer"/>
    <w:basedOn w:val="Normal"/>
    <w:pPr>
      <w:jc w:val="center"/>
    </w:pPr>
    <w:rPr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Relationship Id="rId4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Odwołanie zgody na przetwarzanie danych po wygaśnięciu zobowiązania oraz żądanie usunięcia danych</dc:title>
  <dc:subject/>
  <dc:creator>Kredeo</dc:creator>
  <cp:keywords/>
  <dc:description/>
  <cp:lastModifiedBy>Kredeo</cp:lastModifiedBy>
  <dcterms:created xsi:type="dcterms:W3CDTF">2026-10-16T00:00:00Z</dcterms:created>
  <dcterms:modified xsi:type="dcterms:W3CDTF">2026-10-16T00:00:00Z</dcterms:modified>
</cp:coreProperties>
</file>